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846B5">
      <w:pPr>
        <w:pStyle w:val="4"/>
        <w:widowControl w:val="0"/>
        <w:overflowPunct w:val="0"/>
        <w:spacing w:before="0" w:beforeAutospacing="0" w:after="0" w:afterAutospacing="0" w:line="560" w:lineRule="exact"/>
        <w:jc w:val="center"/>
        <w:rPr>
          <w:rStyle w:val="7"/>
          <w:rFonts w:ascii="方正小标宋简体" w:hAnsi="方正小标宋简体" w:eastAsia="方正小标宋简体" w:cs="方正小标宋简体"/>
          <w:sz w:val="44"/>
          <w:szCs w:val="44"/>
        </w:rPr>
      </w:pPr>
    </w:p>
    <w:p w14:paraId="57AD1CC3">
      <w:pPr>
        <w:pStyle w:val="4"/>
        <w:widowControl w:val="0"/>
        <w:overflowPunct w:val="0"/>
        <w:spacing w:before="0" w:beforeAutospacing="0" w:after="0" w:afterAutospacing="0" w:line="560" w:lineRule="exact"/>
        <w:ind w:firstLine="883" w:firstLineChars="200"/>
        <w:jc w:val="both"/>
        <w:rPr>
          <w:rStyle w:val="7"/>
          <w:rFonts w:hint="eastAsia" w:ascii="方正小标宋简体" w:hAnsi="方正小标宋简体" w:eastAsia="方正小标宋简体" w:cs="方正小标宋简体"/>
          <w:sz w:val="44"/>
          <w:szCs w:val="44"/>
        </w:rPr>
      </w:pPr>
      <w:r>
        <w:rPr>
          <w:rStyle w:val="7"/>
          <w:rFonts w:hint="eastAsia" w:ascii="方正小标宋简体" w:hAnsi="方正小标宋简体" w:eastAsia="方正小标宋简体" w:cs="方正小标宋简体"/>
          <w:sz w:val="44"/>
          <w:szCs w:val="44"/>
        </w:rPr>
        <w:t>关于《常州市住房公积金管理办法</w:t>
      </w:r>
    </w:p>
    <w:p w14:paraId="0C707D2B">
      <w:pPr>
        <w:pStyle w:val="4"/>
        <w:widowControl w:val="0"/>
        <w:overflowPunct w:val="0"/>
        <w:spacing w:before="0" w:beforeAutospacing="0" w:after="0" w:afterAutospacing="0" w:line="560" w:lineRule="exact"/>
        <w:ind w:firstLine="883" w:firstLineChars="200"/>
        <w:jc w:val="center"/>
        <w:rPr>
          <w:rFonts w:ascii="Times New Roman" w:hAnsi="Times New Roman" w:eastAsia="仿宋" w:cs="Times New Roman"/>
          <w:color w:val="000000" w:themeColor="text1"/>
          <w:kern w:val="2"/>
          <w:sz w:val="32"/>
          <w:szCs w:val="32"/>
        </w:rPr>
      </w:pPr>
      <w:r>
        <w:rPr>
          <w:rStyle w:val="7"/>
          <w:rFonts w:hint="eastAsia" w:ascii="方正小标宋简体" w:hAnsi="方正小标宋简体" w:eastAsia="方正小标宋简体" w:cs="方正小标宋简体"/>
          <w:sz w:val="44"/>
          <w:szCs w:val="44"/>
        </w:rPr>
        <w:t>(征求意见稿)》的起草说明</w:t>
      </w:r>
    </w:p>
    <w:p w14:paraId="419E9FC5">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p>
    <w:p w14:paraId="51427A7D">
      <w:pPr>
        <w:pStyle w:val="4"/>
        <w:widowControl w:val="0"/>
        <w:overflowPunct w:val="0"/>
        <w:spacing w:before="0" w:beforeAutospacing="0" w:after="0" w:afterAutospacing="0" w:line="560" w:lineRule="exact"/>
        <w:ind w:firstLine="640" w:firstLineChars="200"/>
        <w:jc w:val="both"/>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一、文草背景</w:t>
      </w:r>
      <w:bookmarkStart w:id="0" w:name="_GoBack"/>
      <w:bookmarkEnd w:id="0"/>
    </w:p>
    <w:p w14:paraId="1986B79D">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ascii="Times New Roman" w:hAnsi="Times New Roman" w:eastAsia="仿宋" w:cs="Times New Roman"/>
          <w:color w:val="000000" w:themeColor="text1"/>
          <w:kern w:val="2"/>
          <w:sz w:val="32"/>
          <w:szCs w:val="32"/>
        </w:rPr>
        <w:t>200</w:t>
      </w:r>
      <w:r>
        <w:rPr>
          <w:rFonts w:hint="eastAsia" w:ascii="Times New Roman" w:hAnsi="Times New Roman" w:eastAsia="仿宋" w:cs="Times New Roman"/>
          <w:color w:val="000000" w:themeColor="text1"/>
          <w:kern w:val="2"/>
          <w:sz w:val="32"/>
          <w:szCs w:val="32"/>
        </w:rPr>
        <w:t>8</w:t>
      </w:r>
      <w:r>
        <w:rPr>
          <w:rFonts w:ascii="Times New Roman" w:hAnsi="Times New Roman" w:eastAsia="仿宋" w:cs="Times New Roman"/>
          <w:color w:val="000000" w:themeColor="text1"/>
          <w:kern w:val="2"/>
          <w:sz w:val="32"/>
          <w:szCs w:val="32"/>
        </w:rPr>
        <w:t>年</w:t>
      </w:r>
      <w:r>
        <w:rPr>
          <w:rFonts w:hint="eastAsia" w:ascii="Times New Roman" w:hAnsi="Times New Roman" w:eastAsia="仿宋" w:cs="Times New Roman"/>
          <w:color w:val="000000" w:themeColor="text1"/>
          <w:kern w:val="2"/>
          <w:sz w:val="32"/>
          <w:szCs w:val="32"/>
        </w:rPr>
        <w:t>12</w:t>
      </w:r>
      <w:r>
        <w:rPr>
          <w:rFonts w:ascii="Times New Roman" w:hAnsi="Times New Roman" w:eastAsia="仿宋" w:cs="Times New Roman"/>
          <w:color w:val="000000" w:themeColor="text1"/>
          <w:kern w:val="2"/>
          <w:sz w:val="32"/>
          <w:szCs w:val="32"/>
        </w:rPr>
        <w:t>月</w:t>
      </w:r>
      <w:r>
        <w:rPr>
          <w:rFonts w:hint="eastAsia" w:ascii="Times New Roman" w:hAnsi="Times New Roman" w:eastAsia="仿宋" w:cs="Times New Roman"/>
          <w:color w:val="000000" w:themeColor="text1"/>
          <w:kern w:val="2"/>
          <w:sz w:val="32"/>
          <w:szCs w:val="32"/>
        </w:rPr>
        <w:t>，</w:t>
      </w:r>
      <w:r>
        <w:rPr>
          <w:rFonts w:ascii="Times New Roman" w:hAnsi="Times New Roman" w:eastAsia="仿宋" w:cs="Times New Roman"/>
          <w:color w:val="000000" w:themeColor="text1"/>
          <w:kern w:val="2"/>
          <w:sz w:val="32"/>
          <w:szCs w:val="32"/>
        </w:rPr>
        <w:t>市政府</w:t>
      </w:r>
      <w:r>
        <w:rPr>
          <w:rFonts w:hint="eastAsia" w:ascii="Times New Roman" w:hAnsi="Times New Roman" w:eastAsia="仿宋" w:cs="Times New Roman"/>
          <w:color w:val="000000" w:themeColor="text1"/>
          <w:kern w:val="2"/>
          <w:sz w:val="32"/>
          <w:szCs w:val="32"/>
        </w:rPr>
        <w:t>颁布实施</w:t>
      </w:r>
      <w:r>
        <w:rPr>
          <w:rFonts w:ascii="Times New Roman" w:hAnsi="Times New Roman" w:eastAsia="仿宋" w:cs="Times New Roman"/>
          <w:color w:val="000000" w:themeColor="text1"/>
          <w:kern w:val="2"/>
          <w:sz w:val="32"/>
          <w:szCs w:val="32"/>
        </w:rPr>
        <w:t>《</w:t>
      </w:r>
      <w:r>
        <w:rPr>
          <w:rFonts w:hint="eastAsia" w:ascii="Times New Roman" w:hAnsi="Times New Roman" w:eastAsia="仿宋" w:cs="Times New Roman"/>
          <w:color w:val="000000" w:themeColor="text1"/>
          <w:kern w:val="2"/>
          <w:sz w:val="32"/>
          <w:szCs w:val="32"/>
        </w:rPr>
        <w:t>常</w:t>
      </w:r>
      <w:r>
        <w:rPr>
          <w:rFonts w:ascii="Times New Roman" w:hAnsi="Times New Roman" w:eastAsia="仿宋" w:cs="Times New Roman"/>
          <w:color w:val="000000" w:themeColor="text1"/>
          <w:kern w:val="2"/>
          <w:sz w:val="32"/>
          <w:szCs w:val="32"/>
        </w:rPr>
        <w:t>州市住房公积金管理办法》（</w:t>
      </w:r>
      <w:r>
        <w:rPr>
          <w:rFonts w:hint="eastAsia" w:ascii="Times New Roman" w:hAnsi="Times New Roman" w:eastAsia="仿宋" w:cs="Times New Roman"/>
          <w:color w:val="000000" w:themeColor="text1"/>
          <w:kern w:val="2"/>
          <w:sz w:val="32"/>
          <w:szCs w:val="32"/>
        </w:rPr>
        <w:t>常</w:t>
      </w:r>
      <w:r>
        <w:rPr>
          <w:rFonts w:ascii="Times New Roman" w:hAnsi="Times New Roman" w:eastAsia="仿宋" w:cs="Times New Roman"/>
          <w:color w:val="000000" w:themeColor="text1"/>
          <w:kern w:val="2"/>
          <w:sz w:val="32"/>
          <w:szCs w:val="32"/>
        </w:rPr>
        <w:t>政发</w:t>
      </w:r>
      <w:r>
        <w:rPr>
          <w:rFonts w:hint="eastAsia" w:ascii="仿宋" w:hAnsi="仿宋" w:eastAsia="仿宋" w:cs="Times New Roman"/>
          <w:color w:val="000000" w:themeColor="text1"/>
          <w:kern w:val="2"/>
          <w:sz w:val="32"/>
          <w:szCs w:val="32"/>
        </w:rPr>
        <w:t>〔</w:t>
      </w:r>
      <w:r>
        <w:rPr>
          <w:rFonts w:ascii="Times New Roman" w:hAnsi="Times New Roman" w:eastAsia="仿宋" w:cs="Times New Roman"/>
          <w:color w:val="000000" w:themeColor="text1"/>
          <w:kern w:val="2"/>
          <w:sz w:val="32"/>
          <w:szCs w:val="32"/>
        </w:rPr>
        <w:t>200</w:t>
      </w:r>
      <w:r>
        <w:rPr>
          <w:rFonts w:hint="eastAsia" w:ascii="Times New Roman" w:hAnsi="Times New Roman" w:eastAsia="仿宋" w:cs="Times New Roman"/>
          <w:color w:val="000000" w:themeColor="text1"/>
          <w:kern w:val="2"/>
          <w:sz w:val="32"/>
          <w:szCs w:val="32"/>
        </w:rPr>
        <w:t>8</w:t>
      </w:r>
      <w:r>
        <w:rPr>
          <w:rFonts w:hint="eastAsia" w:ascii="仿宋" w:hAnsi="仿宋" w:eastAsia="仿宋" w:cs="Times New Roman"/>
          <w:color w:val="000000" w:themeColor="text1"/>
          <w:kern w:val="2"/>
          <w:sz w:val="32"/>
          <w:szCs w:val="32"/>
        </w:rPr>
        <w:t>〕</w:t>
      </w:r>
      <w:r>
        <w:rPr>
          <w:rFonts w:hint="eastAsia" w:ascii="Times New Roman" w:hAnsi="Times New Roman" w:eastAsia="仿宋" w:cs="Times New Roman"/>
          <w:color w:val="000000" w:themeColor="text1"/>
          <w:kern w:val="2"/>
          <w:sz w:val="32"/>
          <w:szCs w:val="32"/>
        </w:rPr>
        <w:t>196</w:t>
      </w:r>
      <w:r>
        <w:rPr>
          <w:rFonts w:ascii="Times New Roman" w:hAnsi="Times New Roman" w:eastAsia="仿宋" w:cs="Times New Roman"/>
          <w:color w:val="000000" w:themeColor="text1"/>
          <w:kern w:val="2"/>
          <w:sz w:val="32"/>
          <w:szCs w:val="32"/>
        </w:rPr>
        <w:t>号）</w:t>
      </w:r>
      <w:r>
        <w:rPr>
          <w:rFonts w:hint="eastAsia" w:ascii="Times New Roman" w:hAnsi="Times New Roman" w:eastAsia="仿宋" w:cs="Times New Roman"/>
          <w:color w:val="000000" w:themeColor="text1"/>
          <w:kern w:val="2"/>
          <w:sz w:val="32"/>
          <w:szCs w:val="32"/>
        </w:rPr>
        <w:t>（以下简称“《办法》”），对推进住房公积金制度，规范住房公积金管理起到重要作用。但由于《办法》颁布时间较长，部分条款已经不适应当前管理情况，特别是近年来，随着上级管理政策变化和业务服务的创新增多，</w:t>
      </w:r>
      <w:r>
        <w:rPr>
          <w:rFonts w:ascii="Times New Roman" w:hAnsi="Times New Roman" w:eastAsia="仿宋" w:cs="Times New Roman"/>
          <w:color w:val="000000" w:themeColor="text1"/>
          <w:kern w:val="2"/>
          <w:sz w:val="32"/>
          <w:szCs w:val="32"/>
        </w:rPr>
        <w:t>现行</w:t>
      </w:r>
      <w:r>
        <w:rPr>
          <w:rFonts w:hint="eastAsia" w:ascii="Times New Roman" w:hAnsi="Times New Roman" w:eastAsia="仿宋" w:cs="Times New Roman"/>
          <w:color w:val="000000" w:themeColor="text1"/>
          <w:kern w:val="2"/>
          <w:sz w:val="32"/>
          <w:szCs w:val="32"/>
        </w:rPr>
        <w:t>的管理办法</w:t>
      </w:r>
      <w:r>
        <w:rPr>
          <w:rFonts w:ascii="Times New Roman" w:hAnsi="Times New Roman" w:eastAsia="仿宋" w:cs="Times New Roman"/>
          <w:color w:val="000000" w:themeColor="text1"/>
          <w:kern w:val="2"/>
          <w:sz w:val="32"/>
          <w:szCs w:val="32"/>
        </w:rPr>
        <w:t>已难以满足</w:t>
      </w:r>
      <w:r>
        <w:rPr>
          <w:rFonts w:hint="eastAsia" w:ascii="Times New Roman" w:hAnsi="Times New Roman" w:eastAsia="仿宋" w:cs="Times New Roman"/>
          <w:color w:val="000000" w:themeColor="text1"/>
          <w:kern w:val="2"/>
          <w:sz w:val="32"/>
          <w:szCs w:val="32"/>
        </w:rPr>
        <w:t>住房公积金事业高质量发展的需要</w:t>
      </w:r>
      <w:r>
        <w:rPr>
          <w:rFonts w:ascii="Times New Roman" w:hAnsi="Times New Roman" w:eastAsia="仿宋" w:cs="Times New Roman"/>
          <w:color w:val="000000" w:themeColor="text1"/>
          <w:kern w:val="2"/>
          <w:sz w:val="32"/>
          <w:szCs w:val="32"/>
        </w:rPr>
        <w:t>。</w:t>
      </w:r>
    </w:p>
    <w:p w14:paraId="0B42C21F">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为了进一步强化住房公积金规范管理，维护住房公积金缴存单位和住房公积金缴存人员的合法权益，促进城镇住房建设，支持住房消费和城市更新改造，保证住房公积金运作安全有效，根据国务院《住房公积金管理条例》和我市实际情况，修订完善本办法。</w:t>
      </w:r>
    </w:p>
    <w:p w14:paraId="5F35BDA8">
      <w:pPr>
        <w:pStyle w:val="4"/>
        <w:widowControl w:val="0"/>
        <w:overflowPunct w:val="0"/>
        <w:spacing w:before="0" w:beforeAutospacing="0" w:after="0" w:afterAutospacing="0" w:line="560" w:lineRule="exact"/>
        <w:ind w:firstLine="640" w:firstLineChars="200"/>
        <w:jc w:val="both"/>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二、起草过程</w:t>
      </w:r>
    </w:p>
    <w:p w14:paraId="469D1F21">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自5月份启动修订工作以来，市公积金中心先后通过电话咨询、网站查询、查阅文件、走访交流等方式调研了北京、南京、广州、苏州等地住房公积金管理办法和缴存使用相关规定。6月底完成修改初稿后，组织多次研讨改进后形成征求意见稿。</w:t>
      </w:r>
    </w:p>
    <w:p w14:paraId="6E182AFF">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p>
    <w:p w14:paraId="395D7B8E">
      <w:pPr>
        <w:pStyle w:val="4"/>
        <w:widowControl w:val="0"/>
        <w:overflowPunct w:val="0"/>
        <w:spacing w:before="0" w:beforeAutospacing="0" w:after="0" w:afterAutospacing="0" w:line="560" w:lineRule="exact"/>
        <w:ind w:firstLine="640" w:firstLineChars="200"/>
        <w:jc w:val="both"/>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三、主要内容</w:t>
      </w:r>
    </w:p>
    <w:p w14:paraId="2DAFEF12">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常州市住房公积金管理办法》主要依据国务院《住房公积金管理条例》和住建部、省住建厅有关住房公积金通知要求，并参照同行住房公积金管理有益经验，对现有政策进行总结、梳理和整合，把行之有效的经验做法以规范性文件形式固定下来。</w:t>
      </w:r>
    </w:p>
    <w:p w14:paraId="615A5997">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修订后的《常州市住房公积金管理办法》共</w:t>
      </w:r>
      <w:r>
        <w:rPr>
          <w:rFonts w:ascii="Times New Roman" w:hAnsi="Times New Roman" w:eastAsia="仿宋" w:cs="Times New Roman"/>
          <w:color w:val="000000" w:themeColor="text1"/>
          <w:kern w:val="2"/>
          <w:sz w:val="32"/>
          <w:szCs w:val="32"/>
        </w:rPr>
        <w:t>七章</w:t>
      </w:r>
      <w:r>
        <w:rPr>
          <w:rFonts w:hint="eastAsia" w:ascii="Times New Roman" w:hAnsi="Times New Roman" w:eastAsia="仿宋" w:cs="Times New Roman"/>
          <w:color w:val="000000" w:themeColor="text1"/>
          <w:kern w:val="2"/>
          <w:sz w:val="32"/>
          <w:szCs w:val="32"/>
        </w:rPr>
        <w:t>五十三</w:t>
      </w:r>
      <w:r>
        <w:rPr>
          <w:rFonts w:ascii="Times New Roman" w:hAnsi="Times New Roman" w:eastAsia="仿宋" w:cs="Times New Roman"/>
          <w:color w:val="000000" w:themeColor="text1"/>
          <w:kern w:val="2"/>
          <w:sz w:val="32"/>
          <w:szCs w:val="32"/>
        </w:rPr>
        <w:t>条。第一章总则，对</w:t>
      </w:r>
      <w:r>
        <w:rPr>
          <w:rFonts w:hint="eastAsia" w:ascii="Times New Roman" w:hAnsi="Times New Roman" w:eastAsia="仿宋" w:cs="Times New Roman"/>
          <w:color w:val="000000" w:themeColor="text1"/>
          <w:kern w:val="2"/>
          <w:sz w:val="32"/>
          <w:szCs w:val="32"/>
        </w:rPr>
        <w:t>住房</w:t>
      </w:r>
      <w:r>
        <w:rPr>
          <w:rFonts w:ascii="Times New Roman" w:hAnsi="Times New Roman" w:eastAsia="仿宋" w:cs="Times New Roman"/>
          <w:color w:val="000000" w:themeColor="text1"/>
          <w:kern w:val="2"/>
          <w:sz w:val="32"/>
          <w:szCs w:val="32"/>
        </w:rPr>
        <w:t>公积金进行了定义并明确缴存主体</w:t>
      </w:r>
      <w:r>
        <w:rPr>
          <w:rFonts w:hint="eastAsia" w:ascii="Times New Roman" w:hAnsi="Times New Roman" w:eastAsia="仿宋" w:cs="Times New Roman"/>
          <w:color w:val="000000" w:themeColor="text1"/>
          <w:kern w:val="2"/>
          <w:sz w:val="32"/>
          <w:szCs w:val="32"/>
        </w:rPr>
        <w:t>、管理运作原则等</w:t>
      </w:r>
      <w:r>
        <w:rPr>
          <w:rFonts w:ascii="Times New Roman" w:hAnsi="Times New Roman" w:eastAsia="仿宋" w:cs="Times New Roman"/>
          <w:color w:val="000000" w:themeColor="text1"/>
          <w:kern w:val="2"/>
          <w:sz w:val="32"/>
          <w:szCs w:val="32"/>
        </w:rPr>
        <w:t>；第二章机构及其职责，明确了各机构的分工和职责；第三章缴存，强调了</w:t>
      </w:r>
      <w:r>
        <w:rPr>
          <w:rFonts w:hint="eastAsia" w:ascii="Times New Roman" w:hAnsi="Times New Roman" w:eastAsia="仿宋" w:cs="Times New Roman"/>
          <w:color w:val="000000" w:themeColor="text1"/>
          <w:kern w:val="2"/>
          <w:sz w:val="32"/>
          <w:szCs w:val="32"/>
        </w:rPr>
        <w:t>住房</w:t>
      </w:r>
      <w:r>
        <w:rPr>
          <w:rFonts w:ascii="Times New Roman" w:hAnsi="Times New Roman" w:eastAsia="仿宋" w:cs="Times New Roman"/>
          <w:color w:val="000000" w:themeColor="text1"/>
          <w:kern w:val="2"/>
          <w:sz w:val="32"/>
          <w:szCs w:val="32"/>
        </w:rPr>
        <w:t>公积金的</w:t>
      </w:r>
      <w:r>
        <w:rPr>
          <w:rFonts w:hint="eastAsia" w:ascii="Times New Roman" w:hAnsi="Times New Roman" w:eastAsia="仿宋" w:cs="Times New Roman"/>
          <w:color w:val="000000" w:themeColor="text1"/>
          <w:kern w:val="2"/>
          <w:sz w:val="32"/>
          <w:szCs w:val="32"/>
        </w:rPr>
        <w:t>依规</w:t>
      </w:r>
      <w:r>
        <w:rPr>
          <w:rFonts w:ascii="Times New Roman" w:hAnsi="Times New Roman" w:eastAsia="仿宋" w:cs="Times New Roman"/>
          <w:color w:val="000000" w:themeColor="text1"/>
          <w:kern w:val="2"/>
          <w:sz w:val="32"/>
          <w:szCs w:val="32"/>
        </w:rPr>
        <w:t>缴存事宜，对缴存登记、账户管理、基数调整</w:t>
      </w:r>
      <w:r>
        <w:rPr>
          <w:rFonts w:hint="eastAsia" w:ascii="Times New Roman" w:hAnsi="Times New Roman" w:eastAsia="仿宋" w:cs="Times New Roman"/>
          <w:color w:val="000000" w:themeColor="text1"/>
          <w:kern w:val="2"/>
          <w:sz w:val="32"/>
          <w:szCs w:val="32"/>
        </w:rPr>
        <w:t>、缴存比例</w:t>
      </w:r>
      <w:r>
        <w:rPr>
          <w:rFonts w:ascii="Times New Roman" w:hAnsi="Times New Roman" w:eastAsia="仿宋" w:cs="Times New Roman"/>
          <w:color w:val="000000" w:themeColor="text1"/>
          <w:kern w:val="2"/>
          <w:sz w:val="32"/>
          <w:szCs w:val="32"/>
        </w:rPr>
        <w:t>等进行了明确；第四章提取和使用，</w:t>
      </w:r>
      <w:r>
        <w:rPr>
          <w:rFonts w:hint="eastAsia" w:ascii="Times New Roman" w:hAnsi="Times New Roman" w:eastAsia="仿宋" w:cs="Times New Roman"/>
          <w:color w:val="000000" w:themeColor="text1"/>
          <w:kern w:val="2"/>
          <w:sz w:val="32"/>
          <w:szCs w:val="32"/>
        </w:rPr>
        <w:t>明确</w:t>
      </w:r>
      <w:r>
        <w:rPr>
          <w:rFonts w:ascii="Times New Roman" w:hAnsi="Times New Roman" w:eastAsia="仿宋" w:cs="Times New Roman"/>
          <w:color w:val="000000" w:themeColor="text1"/>
          <w:kern w:val="2"/>
          <w:sz w:val="32"/>
          <w:szCs w:val="32"/>
        </w:rPr>
        <w:t>了住房公积金的提取情形和条件；</w:t>
      </w:r>
      <w:r>
        <w:rPr>
          <w:rFonts w:hint="eastAsia" w:ascii="Times New Roman" w:hAnsi="Times New Roman" w:eastAsia="仿宋" w:cs="Times New Roman"/>
          <w:color w:val="000000" w:themeColor="text1"/>
          <w:kern w:val="2"/>
          <w:sz w:val="32"/>
          <w:szCs w:val="32"/>
        </w:rPr>
        <w:t>申请贷款的情形和条件、贷款的担保管理、运作收益的分配等；</w:t>
      </w:r>
      <w:r>
        <w:rPr>
          <w:rFonts w:ascii="Times New Roman" w:hAnsi="Times New Roman" w:eastAsia="仿宋" w:cs="Times New Roman"/>
          <w:color w:val="000000" w:themeColor="text1"/>
          <w:kern w:val="2"/>
          <w:sz w:val="32"/>
          <w:szCs w:val="32"/>
        </w:rPr>
        <w:t>第六章监督检查，明确了</w:t>
      </w:r>
      <w:r>
        <w:rPr>
          <w:rFonts w:hint="eastAsia" w:ascii="Times New Roman" w:hAnsi="Times New Roman" w:eastAsia="仿宋" w:cs="Times New Roman"/>
          <w:color w:val="000000" w:themeColor="text1"/>
          <w:kern w:val="2"/>
          <w:sz w:val="32"/>
          <w:szCs w:val="32"/>
        </w:rPr>
        <w:t>政府部门协力推进住房公积金制度的工作职责；明确了公积金</w:t>
      </w:r>
      <w:r>
        <w:rPr>
          <w:rFonts w:ascii="Times New Roman" w:hAnsi="Times New Roman" w:eastAsia="仿宋" w:cs="Times New Roman"/>
          <w:color w:val="000000" w:themeColor="text1"/>
          <w:kern w:val="2"/>
          <w:sz w:val="32"/>
          <w:szCs w:val="32"/>
        </w:rPr>
        <w:t>中心</w:t>
      </w:r>
      <w:r>
        <w:rPr>
          <w:rFonts w:hint="eastAsia" w:ascii="Times New Roman" w:hAnsi="Times New Roman" w:eastAsia="仿宋" w:cs="Times New Roman"/>
          <w:color w:val="000000" w:themeColor="text1"/>
          <w:kern w:val="2"/>
          <w:sz w:val="32"/>
          <w:szCs w:val="32"/>
        </w:rPr>
        <w:t>接受社会监</w:t>
      </w:r>
      <w:r>
        <w:rPr>
          <w:rFonts w:ascii="Times New Roman" w:hAnsi="Times New Roman" w:eastAsia="仿宋" w:cs="Times New Roman"/>
          <w:color w:val="000000" w:themeColor="text1"/>
          <w:kern w:val="2"/>
          <w:sz w:val="32"/>
          <w:szCs w:val="32"/>
        </w:rPr>
        <w:t>督</w:t>
      </w:r>
      <w:r>
        <w:rPr>
          <w:rFonts w:hint="eastAsia" w:ascii="Times New Roman" w:hAnsi="Times New Roman" w:eastAsia="仿宋" w:cs="Times New Roman"/>
          <w:color w:val="000000" w:themeColor="text1"/>
          <w:kern w:val="2"/>
          <w:sz w:val="32"/>
          <w:szCs w:val="32"/>
        </w:rPr>
        <w:t>，缴存单位接受职工监督的相关要求；第七章附则，明确《办法》的实施期限和制定实施细则的要求。</w:t>
      </w:r>
    </w:p>
    <w:p w14:paraId="7419B9E3">
      <w:pPr>
        <w:pStyle w:val="4"/>
        <w:widowControl w:val="0"/>
        <w:overflowPunct w:val="0"/>
        <w:spacing w:before="0" w:beforeAutospacing="0" w:after="0" w:afterAutospacing="0" w:line="560" w:lineRule="exact"/>
        <w:ind w:firstLine="640" w:firstLineChars="200"/>
        <w:jc w:val="both"/>
        <w:rPr>
          <w:rFonts w:ascii="黑体" w:hAnsi="黑体" w:eastAsia="黑体" w:cs="黑体"/>
          <w:color w:val="000000" w:themeColor="text1"/>
          <w:kern w:val="2"/>
          <w:sz w:val="32"/>
          <w:szCs w:val="32"/>
        </w:rPr>
      </w:pPr>
      <w:r>
        <w:rPr>
          <w:rFonts w:hint="eastAsia" w:ascii="黑体" w:hAnsi="黑体" w:eastAsia="黑体" w:cs="黑体"/>
          <w:color w:val="000000" w:themeColor="text1"/>
          <w:kern w:val="2"/>
          <w:sz w:val="32"/>
          <w:szCs w:val="32"/>
        </w:rPr>
        <w:t>四、主要变化</w:t>
      </w:r>
    </w:p>
    <w:p w14:paraId="529A9FC6">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与原《办法</w:t>
      </w:r>
      <w:r>
        <w:rPr>
          <w:rFonts w:ascii="Times New Roman" w:hAnsi="Times New Roman" w:eastAsia="仿宋" w:cs="Times New Roman"/>
          <w:color w:val="000000" w:themeColor="text1"/>
          <w:kern w:val="2"/>
          <w:sz w:val="32"/>
          <w:szCs w:val="32"/>
        </w:rPr>
        <w:t>》相比，主要作了以下调整：</w:t>
      </w:r>
    </w:p>
    <w:p w14:paraId="2AAA946C">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（一）总体章节内容有变化。原《办法》共七章五十七条，修改后的《办法》共七章五十三条，其中新增4个条款，删除8个条款，合并3个条款，分设1个条款。</w:t>
      </w:r>
    </w:p>
    <w:p w14:paraId="28FBDC74">
      <w:pPr>
        <w:pStyle w:val="4"/>
        <w:widowControl w:val="0"/>
        <w:tabs>
          <w:tab w:val="left" w:pos="0"/>
        </w:tabs>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（二）新增内容：一是明确了单位缴存职工的范围。二是新增了</w:t>
      </w:r>
      <w:r>
        <w:rPr>
          <w:rFonts w:ascii="Times New Roman" w:hAnsi="Times New Roman" w:eastAsia="仿宋" w:cs="Times New Roman"/>
          <w:color w:val="000000" w:themeColor="text1"/>
          <w:kern w:val="2"/>
          <w:sz w:val="32"/>
          <w:szCs w:val="32"/>
        </w:rPr>
        <w:t>缴存主体的变化。在本市就业的港澳台同胞、持有《外国人永久居留证》的外国人可以在本市缴存住房公积金。在法定就业年龄范围内的灵活就业人员可以缴存住房公积金。</w:t>
      </w:r>
      <w:r>
        <w:rPr>
          <w:rFonts w:hint="eastAsia" w:ascii="Times New Roman" w:hAnsi="Times New Roman" w:eastAsia="仿宋" w:cs="Times New Roman"/>
          <w:color w:val="000000" w:themeColor="text1"/>
          <w:kern w:val="2"/>
          <w:sz w:val="32"/>
          <w:szCs w:val="32"/>
        </w:rPr>
        <w:t>三是明确职工和灵活就业人员缴存住房公积金免征所得税和补充住房公积金给予利息补贴。四是新增了我市可以发放公转商贴息贷款和商转公贷款的情况。</w:t>
      </w:r>
    </w:p>
    <w:p w14:paraId="0794CABD">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（三）删除内容：根据上级管理规定和我市住房公积金管理实际，对有关工作考核、业务操作以及上下文重复的八处内容进行了删除</w:t>
      </w:r>
      <w:r>
        <w:rPr>
          <w:rFonts w:ascii="Times New Roman" w:hAnsi="Times New Roman" w:eastAsia="仿宋" w:cs="Times New Roman"/>
          <w:color w:val="000000" w:themeColor="text1"/>
          <w:kern w:val="2"/>
          <w:sz w:val="32"/>
          <w:szCs w:val="32"/>
        </w:rPr>
        <w:t>。</w:t>
      </w:r>
      <w:r>
        <w:rPr>
          <w:rFonts w:hint="eastAsia" w:ascii="Times New Roman" w:hAnsi="Times New Roman" w:eastAsia="仿宋" w:cs="Times New Roman"/>
          <w:color w:val="000000" w:themeColor="text1"/>
          <w:kern w:val="2"/>
          <w:sz w:val="32"/>
          <w:szCs w:val="32"/>
        </w:rPr>
        <w:t>其中工作考核的相关内容已体现在修订后有关政府部门加强工作协作和开展监督检查的职责中，部分业务操作内容将由后续有关缴存、提取、贷款的实施细则中进一步明确。</w:t>
      </w:r>
    </w:p>
    <w:p w14:paraId="1524D687">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四）合并内容：将单位设立登记、变更登记和注销登记合并为一个条款表述；将有关缴存办理和缴存比例的两个条款进行合并，对单位缴存比例的规定进一步明确。对住房公积金贷款情形和贷款原则、担保要求进行合并表述，结合工作实际对贷款原则作了删除。</w:t>
      </w:r>
    </w:p>
    <w:p w14:paraId="1BE4B775">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（五）分列内容：对住房公积金计息和免征所得税进行了分列条款表述。对职工账户处理和账户设立进行分列条款表述。</w:t>
      </w:r>
    </w:p>
    <w:p w14:paraId="1D51CF59">
      <w:pPr>
        <w:pStyle w:val="4"/>
        <w:widowControl w:val="0"/>
        <w:overflowPunct w:val="0"/>
        <w:spacing w:before="0" w:beforeAutospacing="0" w:after="0" w:afterAutospacing="0" w:line="560" w:lineRule="exact"/>
        <w:ind w:firstLine="640" w:firstLineChars="200"/>
        <w:jc w:val="both"/>
        <w:rPr>
          <w:rFonts w:ascii="Times New Roman" w:hAnsi="Times New Roman" w:eastAsia="仿宋" w:cs="Times New Roman"/>
          <w:color w:val="000000" w:themeColor="text1"/>
          <w:kern w:val="2"/>
          <w:sz w:val="32"/>
          <w:szCs w:val="32"/>
        </w:rPr>
      </w:pPr>
      <w:r>
        <w:rPr>
          <w:rFonts w:hint="eastAsia" w:ascii="Times New Roman" w:hAnsi="Times New Roman" w:eastAsia="仿宋" w:cs="Times New Roman"/>
          <w:color w:val="000000" w:themeColor="text1"/>
          <w:kern w:val="2"/>
          <w:sz w:val="32"/>
          <w:szCs w:val="32"/>
        </w:rPr>
        <w:t>（六）规范表述：对26个条款内容进行完善和补充，如住房公积金定义、在职职工对象、缴存基数、降比缓缴、提取情形、部门职责等。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118A"/>
    <w:rsid w:val="000B3B4D"/>
    <w:rsid w:val="001E3E41"/>
    <w:rsid w:val="0027118A"/>
    <w:rsid w:val="00285548"/>
    <w:rsid w:val="0034796B"/>
    <w:rsid w:val="003F3FD4"/>
    <w:rsid w:val="00596E9E"/>
    <w:rsid w:val="005E1616"/>
    <w:rsid w:val="00667433"/>
    <w:rsid w:val="007A1D73"/>
    <w:rsid w:val="008223AB"/>
    <w:rsid w:val="00A11561"/>
    <w:rsid w:val="00A44961"/>
    <w:rsid w:val="00B86C20"/>
    <w:rsid w:val="00B97CBF"/>
    <w:rsid w:val="327F47A2"/>
    <w:rsid w:val="44824FDE"/>
    <w:rsid w:val="61C650E0"/>
    <w:rsid w:val="68264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rFonts w:cs="Times New Roman"/>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1436</Words>
  <Characters>1446</Characters>
  <Lines>10</Lines>
  <Paragraphs>2</Paragraphs>
  <TotalTime>69</TotalTime>
  <ScaleCrop>false</ScaleCrop>
  <LinksUpToDate>false</LinksUpToDate>
  <CharactersWithSpaces>1446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2025-08-06T09:39:00Z</dcterms:created>
  <dc:creator>Administrator</dc:creator>
  <cp:lastModifiedBy>WPS_1481021978</cp:lastModifiedBy>
  <dcterms:modified xsi:type="dcterms:W3CDTF">2025-08-22T08:39:21Z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eyJoZGlkIjoiYjNiZWFiMzRlMjNiYmFkNDJkODllMTA2ODZmN2UzYzEiLCJ1c2VySWQiOiIyNTUyMzUwOTAifQ==</vt:lpwstr>
  </property>
  <property fmtid="{D5CDD505-2E9C-101B-9397-08002B2CF9AE}" pid="3" name="KSOProductBuildVer">
    <vt:lpwstr>2052-12.1.0.21915</vt:lpwstr>
  </property>
  <property fmtid="{D5CDD505-2E9C-101B-9397-08002B2CF9AE}" pid="4" name="ICV">
    <vt:lpwstr>198FFD6106C14838A3F68221DEB20097_13</vt:lpwstr>
  </property>
</Properties>
</file>